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75a483cf1d241b8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51492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VIROVI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VI 2026.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390.590,16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386.981,72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99,1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373.427,83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373.090,62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17.162,33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13.891,10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80,9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4.635,41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4.635,41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17.162,33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9.255,69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53,9</w:t>
            </w:r>
          </w:p>
        </w:tc>
      </w:tr>
    </w:tbl>
    <w:p>
      <w:pPr>
        <w:spacing w:before="0" w:after="0"/>
      </w:pPr>
    </w:p>
    <w:p>
      <w:r>
        <w:t xml:space="preserve">Manjak prihoda i primitaka za pokriće u slijedećem razdoblju iznosi 39.248,64 €, a sastoji se od viška prihoda/primitaka redovnog poslovanja u iznosu od 13.891,10 €, manjka prihoda od nefinancijske imovine u iznosu od 4.635,41 € i prenesenog manjka prihoda u iznosu od 48.504,33 €. Kumulativno, višak prihoda i primitaka tekućeg razdoblja iznosi 9.255,69 € te su prihodi i primici te rashodi i izdaci u razini prošlogodišnjeg izvještajnog razdoblja.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Intelektualne i osobne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21.142,01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12.502,44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59,1</w:t>
            </w:r>
          </w:p>
        </w:tc>
      </w:tr>
    </w:tbl>
    <w:p>
      <w:pPr>
        <w:spacing w:before="0" w:after="0"/>
      </w:pPr>
    </w:p>
    <w:p>
      <w:r>
        <w:t xml:space="preserve">Smanjenje rashoda na ovoj stavci odnosi se ponajviše na smanjene troškove učeničkih i studentskih servisa.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16.582,95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9.763,21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58,9</w:t>
            </w:r>
          </w:p>
        </w:tc>
      </w:tr>
    </w:tbl>
    <w:p>
      <w:pPr>
        <w:spacing w:before="0" w:after="0"/>
      </w:pPr>
    </w:p>
    <w:p>
      <w:r>
        <w:t xml:space="preserve">Smanjenje rashoda na ovoj stavci odnosi se ponajviše na smanjenje troškova čuvanja imovine.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rashodi poslovanja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592,39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1481,3</w:t>
            </w:r>
          </w:p>
        </w:tc>
      </w:tr>
    </w:tbl>
    <w:p>
      <w:pPr>
        <w:spacing w:before="0" w:after="0"/>
      </w:pPr>
    </w:p>
    <w:p>
      <w:r>
        <w:t xml:space="preserve">Povećanje na stavci odnosi se na obveze prema HRVATSKOM DRUŠTVU SKLADATELJA.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22.749,43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Kašnjenje u plaćanju dobavljača uzrokovano je neravnomjernom raspodjelom prihoda od redovnog poslovanja tokom izvještajnog razdoblja.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be3c3dba5c45414e" /></Relationships>
</file>